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3AD8DF8C" w:rsidR="00E15850" w:rsidRPr="00E15850" w:rsidRDefault="00E15850" w:rsidP="00E743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C92C28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>ОАС И</w:t>
            </w:r>
            <w:r w:rsidR="00E743B8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E15850" w:rsidRPr="00092214" w14:paraId="07F26132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2386D749" w:rsidR="00E15850" w:rsidRPr="00C92C28" w:rsidRDefault="00E15850" w:rsidP="000A6C0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9A035F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СТРУКТУРЕ ПОДАТАКА И АЛГОРИТМИ</w:t>
            </w:r>
          </w:p>
        </w:tc>
      </w:tr>
      <w:tr w:rsidR="00E15850" w:rsidRPr="00092214" w14:paraId="7FDFED69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6F371E09" w:rsidR="00E15850" w:rsidRPr="00E15850" w:rsidRDefault="00E15850" w:rsidP="00C92C2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6172917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r w:rsidRPr="6172917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аставници</w:t>
            </w:r>
            <w:r w:rsidRPr="6172917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61729177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C92C28" w:rsidRPr="61729177">
              <w:rPr>
                <w:rFonts w:ascii="Times New Roman" w:hAnsi="Times New Roman"/>
                <w:b/>
                <w:bCs/>
                <w:sz w:val="20"/>
                <w:szCs w:val="20"/>
              </w:rPr>
              <w:t>Олга М. Ристић</w:t>
            </w:r>
            <w:r w:rsidR="420E2568" w:rsidRPr="61729177">
              <w:rPr>
                <w:rFonts w:ascii="Times New Roman" w:hAnsi="Times New Roman"/>
                <w:b/>
                <w:bCs/>
                <w:sz w:val="20"/>
                <w:szCs w:val="20"/>
              </w:rPr>
              <w:t>, Жељко Љ. Јовановић</w:t>
            </w:r>
          </w:p>
        </w:tc>
      </w:tr>
      <w:tr w:rsidR="00E15850" w:rsidRPr="00092214" w14:paraId="4156EA72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242C0A15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C92C28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>обавезни</w:t>
            </w:r>
          </w:p>
        </w:tc>
      </w:tr>
      <w:tr w:rsidR="00E15850" w:rsidRPr="00092214" w14:paraId="73C683EA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488B9EEC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78F6D16A" w:rsidR="00E15850" w:rsidRPr="00092214" w:rsidRDefault="00E15850" w:rsidP="00D47AB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47AB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Увод у програмирање, Програмски језици</w:t>
            </w:r>
          </w:p>
        </w:tc>
      </w:tr>
      <w:tr w:rsidR="00E15850" w:rsidRPr="00092214" w14:paraId="4E19E60B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4EEB107D" w:rsidR="00E15850" w:rsidRPr="0080627F" w:rsidRDefault="00C92C28" w:rsidP="009A035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80627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Оспособити студенте за примену </w:t>
            </w:r>
            <w:r w:rsid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основн</w:t>
            </w:r>
            <w:r w:rsidR="009A035F">
              <w:rPr>
                <w:rFonts w:ascii="Times New Roman" w:hAnsi="Times New Roman"/>
                <w:bCs/>
                <w:sz w:val="20"/>
                <w:szCs w:val="20"/>
              </w:rPr>
              <w:t>их</w:t>
            </w:r>
            <w:r w:rsidR="000A6C09"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структур</w:t>
            </w:r>
            <w:r w:rsidR="009A035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="000A6C09"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података, апстрактн</w:t>
            </w:r>
            <w:r w:rsidR="009A035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="000A6C09"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типов</w:t>
            </w:r>
            <w:r w:rsidR="009A035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="000A6C09"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података и </w:t>
            </w:r>
            <w:r w:rsid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одговарајућ</w:t>
            </w:r>
            <w:r w:rsidR="009A035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0A6C09"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алгорит</w:t>
            </w:r>
            <w:r w:rsidR="009A035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="000A6C09"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</w:t>
            </w:r>
            <w:r w:rsidR="009A035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при развоју софтвера</w:t>
            </w:r>
            <w:r w:rsidR="000A6C09"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 Примена алгортама у решавању конкретних проблема је од суштинске важности за израду софтвера. Изучавање основних структура података је важан предуслов за ефикасан рад софтвера.</w:t>
            </w:r>
          </w:p>
        </w:tc>
      </w:tr>
      <w:tr w:rsidR="00E15850" w:rsidRPr="00092214" w14:paraId="4080A0B6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383D9924" w:rsidR="00E15850" w:rsidRPr="0080627F" w:rsidRDefault="000A6C09" w:rsidP="009A035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Студенти се оспособљавају за праћење изучавања савремених техника програмирања и самостално праћење развоја софтверског производа.Оспособљеност студената за имплементацију различитих структура података у програмском језику Јава.</w:t>
            </w:r>
          </w:p>
        </w:tc>
      </w:tr>
      <w:tr w:rsidR="00E15850" w:rsidRPr="00092214" w14:paraId="7A6AA253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7F6DC10" w14:textId="4A9A0A32" w:rsidR="00E15850" w:rsidRPr="000A6C09" w:rsidRDefault="000A6C09" w:rsidP="009A035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Дефиниције и појмови структура података </w:t>
            </w:r>
            <w:r w:rsidR="009A035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</w:t>
            </w:r>
            <w:r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алгоритама. Дизајн и анализа алгоритма. Време  извршавања алгорима. Велико О нотација. Рекурзија. Линеарне и нелинеарне структуре. Једнодимензионални и вишедимензионални низови. Стекови. Редови. Листе. Алгоритми за сортирање (Selection, Bubble, Insertion sort,...). Алгоритми за претраживање података (секвенцијално,</w:t>
            </w:r>
            <w:r w:rsidR="009A035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0A6C0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бинарно, интерполационо, ...). Рекурзивни алгоритми. Стабла. Бинарна стабла. Бинарна стабла за претраживање. Графови. Алгоритми за обилазак гафова. Минимална разапињућа стабла. Тополошко сортирање.</w:t>
            </w:r>
            <w:r w:rsidR="009A035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Динамичко програмирање.</w:t>
            </w:r>
          </w:p>
          <w:p w14:paraId="5465595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4E16A43D" w:rsidR="00E15850" w:rsidRPr="00D3688C" w:rsidRDefault="00A0231D" w:rsidP="00C92C2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0231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Самосталан рад студената на решавању проблема и задатака које прате предавања. Примена и развој образовних софтвера за симулацију и анимацију структура података и алгоритама.</w:t>
            </w:r>
          </w:p>
        </w:tc>
      </w:tr>
      <w:tr w:rsidR="00E15850" w:rsidRPr="00092214" w14:paraId="4F433D38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67814E4" w14:textId="77777777" w:rsidR="00AB0391" w:rsidRPr="00C27BA9" w:rsidRDefault="00AB0391" w:rsidP="00AB0391">
            <w:pP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pPr>
            <w:r w:rsidRPr="00C27BA9">
              <w:rPr>
                <w:rFonts w:ascii="Times New Roman" w:hAnsi="Times New Roman"/>
                <w:sz w:val="20"/>
                <w:szCs w:val="20"/>
              </w:rPr>
              <w:t xml:space="preserve">[1] </w:t>
            </w:r>
            <w:r w:rsidRPr="00C27B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Laslo Kraus:  Programski jezik Java sa rešenim zadacima 3. izdanje - JSE 13, Akademska misao, 2022, 508 s,</w:t>
            </w:r>
            <w:r w:rsidRPr="00C27BA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27B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ISBN broj: 9788674668078.</w:t>
            </w:r>
            <w:r w:rsidRPr="00C27BA9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14:paraId="47C62587" w14:textId="77777777" w:rsidR="00AB0391" w:rsidRPr="008E066D" w:rsidRDefault="00AB0391" w:rsidP="00AB0391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color w:val="000000"/>
                <w:kern w:val="0"/>
                <w:sz w:val="20"/>
                <w:szCs w:val="20"/>
              </w:rPr>
            </w:pPr>
            <w:r w:rsidRPr="00C27BA9">
              <w:rPr>
                <w:b w:val="0"/>
                <w:sz w:val="20"/>
                <w:szCs w:val="20"/>
              </w:rPr>
              <w:t xml:space="preserve">[2] </w:t>
            </w:r>
            <w:r w:rsidRPr="008E066D">
              <w:rPr>
                <w:b w:val="0"/>
                <w:bCs w:val="0"/>
                <w:iCs/>
                <w:color w:val="000000"/>
                <w:kern w:val="0"/>
                <w:sz w:val="20"/>
                <w:szCs w:val="20"/>
              </w:rPr>
              <w:t xml:space="preserve">Dragan Urošević: Zbirka zadataka iz algoritama i struktura podataka, Računarski fakultet,492 s, ISBN: 978-86-7991-435-4 </w:t>
            </w:r>
          </w:p>
          <w:p w14:paraId="179A7673" w14:textId="77777777" w:rsidR="00AB0391" w:rsidRPr="00CB45C4" w:rsidRDefault="00AB0391" w:rsidP="00AB0391">
            <w:pP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pPr>
            <w:r w:rsidRPr="00CB45C4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[3] </w:t>
            </w:r>
            <w:r w:rsidRPr="00A0231D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Dejan Živković: Uvod u algoritme i strukture podataka, Univerzitet Singidunum, Beograd, 20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21</w:t>
            </w:r>
            <w:r w:rsidRPr="00A0231D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, ISBN 978-86-7912-311-4.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B60960">
                <w:rPr>
                  <w:rStyle w:val="Hyperlink"/>
                  <w:rFonts w:ascii="Times New Roman" w:hAnsi="Times New Roman"/>
                  <w:bCs/>
                  <w:noProof/>
                  <w:sz w:val="20"/>
                  <w:szCs w:val="20"/>
                  <w:lang w:val="en-US"/>
                </w:rPr>
                <w:t>https://singipedia.singidunum.ac.rs/izdanje/40839-uvod-u-algoritme-i-strukture-podataka</w:t>
              </w:r>
            </w:hyperlink>
          </w:p>
          <w:p w14:paraId="1BBEDB6B" w14:textId="77777777" w:rsidR="00AB0391" w:rsidRDefault="00AB0391" w:rsidP="00AB0391">
            <w:pPr>
              <w:spacing w:after="60"/>
              <w:rPr>
                <w:noProof/>
                <w:sz w:val="20"/>
                <w:szCs w:val="20"/>
                <w:lang w:val="en-US"/>
              </w:rPr>
            </w:pPr>
            <w:r w:rsidRPr="53C6CFB4">
              <w:rPr>
                <w:rFonts w:ascii="Times New Roman" w:hAnsi="Times New Roman"/>
                <w:sz w:val="20"/>
                <w:szCs w:val="20"/>
              </w:rPr>
              <w:t>[</w:t>
            </w:r>
            <w:r w:rsidRPr="53C6CFB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4] Clifford A. Shaffer: Practical Introduction to Data Structures and Algorithm Analysis (Java Edition), dover publications, 20</w:t>
            </w:r>
            <w:r w:rsidRPr="53C6CFB4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53C6CFB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0, (доступна бесплатно на интернету:</w:t>
            </w:r>
            <w:r w:rsidRPr="53C6CFB4">
              <w:rPr>
                <w:noProof/>
                <w:sz w:val="20"/>
                <w:szCs w:val="20"/>
                <w:lang w:val="en-US"/>
              </w:rPr>
              <w:t xml:space="preserve"> </w:t>
            </w:r>
            <w:hyperlink r:id="rId8">
              <w:r w:rsidRPr="53C6CFB4">
                <w:rPr>
                  <w:rStyle w:val="Hyperlink"/>
                  <w:noProof/>
                  <w:sz w:val="20"/>
                  <w:szCs w:val="20"/>
                  <w:lang w:val="en-US"/>
                </w:rPr>
                <w:t>https://people.cs.vt.edu/shaffer/Book/</w:t>
              </w:r>
            </w:hyperlink>
            <w:r w:rsidRPr="53C6CFB4">
              <w:rPr>
                <w:noProof/>
                <w:sz w:val="20"/>
                <w:szCs w:val="20"/>
                <w:lang w:val="en-US"/>
              </w:rPr>
              <w:t xml:space="preserve"> ).</w:t>
            </w:r>
          </w:p>
          <w:p w14:paraId="03F44FD9" w14:textId="77777777" w:rsidR="00AB0391" w:rsidRDefault="00AB0391" w:rsidP="00AB0391">
            <w:pPr>
              <w:spacing w:after="60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53C6CFB4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5</w:t>
            </w:r>
            <w:r w:rsidRPr="53C6CFB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]</w:t>
            </w:r>
            <w:r w:rsidRPr="00CB45C4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James Cutajar, Beginning Java Data Structures and Algorithms, Packt Publishing,  2018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, </w:t>
            </w:r>
            <w:r w:rsidRPr="00CB45C4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ISBN: 9781789537178</w:t>
            </w:r>
          </w:p>
          <w:p w14:paraId="0B40C7F2" w14:textId="4EA7DF3E" w:rsidR="00E15850" w:rsidRPr="008C028D" w:rsidRDefault="00AB0391" w:rsidP="00AB039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53C6CFB4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6</w:t>
            </w:r>
            <w:r w:rsidRPr="53C6CFB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AF68B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sr-Latn-RS" w:eastAsia="sr-Latn-RS"/>
              </w:rPr>
              <w:t>Michael T. Goodrich, Roberto Tamassia, Michael H. Goldwasser: Data Structures and Algorithms in Java, Wiley, 2014, 720 p.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7F6F4A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http://bedford-computing.co.uk/learning/wp-content/uploads/2016/08/Data-Structures-and-Algorithms-in-Java-6th-Edition.pdf</w:t>
              </w:r>
            </w:hyperlink>
          </w:p>
        </w:tc>
      </w:tr>
      <w:tr w:rsidR="00E15850" w:rsidRPr="00092214" w14:paraId="7B19B1F3" w14:textId="77777777" w:rsidTr="61729177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31F8615C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126D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4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20BBDDD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126D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623B4026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126D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46B9A142" w:rsidR="00E15850" w:rsidRPr="00D3688C" w:rsidRDefault="00D3688C" w:rsidP="009A035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688C">
              <w:rPr>
                <w:rFonts w:ascii="Times New Roman" w:hAnsi="Times New Roman"/>
              </w:rPr>
              <w:t>Реализација предавања и вежби по моделу интерактивне наставе (наставне методе: популарно предавање, дискусија); активирани облици учења: вербално смисаоно рецептивно учење, кооперативно учење, практично учење.</w:t>
            </w:r>
            <w:r w:rsidR="00C40D2B">
              <w:rPr>
                <w:rFonts w:ascii="Times New Roman" w:hAnsi="Times New Roman"/>
              </w:rPr>
              <w:t xml:space="preserve"> </w:t>
            </w:r>
          </w:p>
        </w:tc>
      </w:tr>
      <w:tr w:rsidR="00E15850" w:rsidRPr="00092214" w14:paraId="4CEDBD4D" w14:textId="77777777" w:rsidTr="61729177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61729177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564E6FAA" w:rsidR="00E15850" w:rsidRPr="00A0231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61729177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7B818D87" w:rsidR="00E15850" w:rsidRPr="00126D62" w:rsidRDefault="00D3688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6D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268C93A1" w:rsidR="00E15850" w:rsidRPr="001763A2" w:rsidRDefault="001763A2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E15850" w:rsidRPr="00092214" w14:paraId="14EA7C6B" w14:textId="77777777" w:rsidTr="61729177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679E2CEA" w:rsidR="00E15850" w:rsidRPr="00126D62" w:rsidRDefault="001763A2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3379A08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D3688C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5C113150" w:rsidR="00E15850" w:rsidRPr="00126D62" w:rsidRDefault="00D3688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126D6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E15850" w:rsidRPr="00092214" w14:paraId="5CC9ED10" w14:textId="77777777" w:rsidTr="61729177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073A1A6F" w:rsidR="00E15850" w:rsidRPr="00126D62" w:rsidRDefault="009A035F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6</w:t>
            </w:r>
            <w:r w:rsidR="00D3688C" w:rsidRPr="00126D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2AE822D2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61729177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3A2DEBF1" w:rsidR="00E15850" w:rsidRPr="00126D62" w:rsidRDefault="001763A2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D47ABC" w:rsidRDefault="00191F13" w:rsidP="00A0231D">
      <w:pPr>
        <w:rPr>
          <w:sz w:val="2"/>
          <w:szCs w:val="2"/>
          <w:lang w:val="en-US"/>
        </w:rPr>
      </w:pPr>
    </w:p>
    <w:sectPr w:rsidR="00191F13" w:rsidRPr="00D47ABC" w:rsidSect="00CB45C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723CF"/>
    <w:rsid w:val="00096F23"/>
    <w:rsid w:val="000A6C09"/>
    <w:rsid w:val="00126D62"/>
    <w:rsid w:val="001763A2"/>
    <w:rsid w:val="00191F13"/>
    <w:rsid w:val="001A01E4"/>
    <w:rsid w:val="001C42EE"/>
    <w:rsid w:val="00250DB3"/>
    <w:rsid w:val="00283516"/>
    <w:rsid w:val="00390E2C"/>
    <w:rsid w:val="00393308"/>
    <w:rsid w:val="004B1A28"/>
    <w:rsid w:val="005A4E7D"/>
    <w:rsid w:val="006C0B49"/>
    <w:rsid w:val="007002C5"/>
    <w:rsid w:val="0080627F"/>
    <w:rsid w:val="008C028D"/>
    <w:rsid w:val="009A035F"/>
    <w:rsid w:val="00A0231D"/>
    <w:rsid w:val="00AB0391"/>
    <w:rsid w:val="00BA55A5"/>
    <w:rsid w:val="00C40D2B"/>
    <w:rsid w:val="00C92C28"/>
    <w:rsid w:val="00CB45C4"/>
    <w:rsid w:val="00CE5CA0"/>
    <w:rsid w:val="00D3688C"/>
    <w:rsid w:val="00D47ABC"/>
    <w:rsid w:val="00E15850"/>
    <w:rsid w:val="00E20E14"/>
    <w:rsid w:val="00E67225"/>
    <w:rsid w:val="00E743B8"/>
    <w:rsid w:val="00F20F2C"/>
    <w:rsid w:val="420E2568"/>
    <w:rsid w:val="61729177"/>
    <w:rsid w:val="796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docId w15:val="{17C2E372-71A1-44D9-B1FA-F93C752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6C0B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8C028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26D62"/>
  </w:style>
  <w:style w:type="character" w:customStyle="1" w:styleId="eop">
    <w:name w:val="eop"/>
    <w:basedOn w:val="DefaultParagraphFont"/>
    <w:rsid w:val="00126D62"/>
  </w:style>
  <w:style w:type="character" w:styleId="FollowedHyperlink">
    <w:name w:val="FollowedHyperlink"/>
    <w:basedOn w:val="DefaultParagraphFont"/>
    <w:uiPriority w:val="99"/>
    <w:semiHidden/>
    <w:unhideWhenUsed/>
    <w:rsid w:val="00CE5CA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0B4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cs.vt.edu/shaffer/Boo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ingipedia.singidunum.ac.rs/izdanje/40839-uvod-u-algoritme-i-strukture-podatak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edford-computing.co.uk/learning/wp-content/uploads/2016/08/Data-Structures-and-Algorithms-in-Java-6th-Ed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28A0E-881B-4B7F-8396-C6A9BCA5A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Nikolić</dc:creator>
  <cp:lastModifiedBy>Andrijana Jovicic</cp:lastModifiedBy>
  <cp:revision>5</cp:revision>
  <dcterms:created xsi:type="dcterms:W3CDTF">2023-08-28T15:09:00Z</dcterms:created>
  <dcterms:modified xsi:type="dcterms:W3CDTF">2023-11-06T20:43:00Z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